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6" w:type="dxa"/>
        <w:tblInd w:w="-743" w:type="dxa"/>
        <w:tblCellMar>
          <w:left w:w="0" w:type="dxa"/>
          <w:right w:w="0" w:type="dxa"/>
        </w:tblCellMar>
        <w:tblLook w:val="04A0" w:firstRow="1" w:lastRow="0" w:firstColumn="1" w:lastColumn="0" w:noHBand="0" w:noVBand="1"/>
      </w:tblPr>
      <w:tblGrid>
        <w:gridCol w:w="10686"/>
      </w:tblGrid>
      <w:tr w:rsidR="0085114A" w:rsidTr="0085114A">
        <w:tc>
          <w:tcPr>
            <w:tcW w:w="10686" w:type="dxa"/>
            <w:tcMar>
              <w:top w:w="0" w:type="dxa"/>
              <w:left w:w="108" w:type="dxa"/>
              <w:bottom w:w="0" w:type="dxa"/>
              <w:right w:w="108" w:type="dxa"/>
            </w:tcMar>
            <w:hideMark/>
          </w:tcPr>
          <w:p w:rsidR="0085114A" w:rsidRDefault="0085114A">
            <w:pPr>
              <w:rPr>
                <w:rFonts w:ascii="Calibri" w:hAnsi="Calibri"/>
              </w:rPr>
            </w:pPr>
            <w:r>
              <w:rPr>
                <w:noProof/>
                <w:lang w:eastAsia="pt-BR"/>
              </w:rPr>
              <w:drawing>
                <wp:inline distT="0" distB="0" distL="0" distR="0">
                  <wp:extent cx="6648450" cy="1228725"/>
                  <wp:effectExtent l="0" t="0" r="0" b="9525"/>
                  <wp:docPr id="2" name="Imagem 2" descr="cid:image001.jpg@01CFCE73.8B5C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1.jpg@01CFCE73.8B5CCF3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648450" cy="1228725"/>
                          </a:xfrm>
                          <a:prstGeom prst="rect">
                            <a:avLst/>
                          </a:prstGeom>
                          <a:noFill/>
                          <a:ln>
                            <a:noFill/>
                          </a:ln>
                        </pic:spPr>
                      </pic:pic>
                    </a:graphicData>
                  </a:graphic>
                </wp:inline>
              </w:drawing>
            </w:r>
          </w:p>
        </w:tc>
      </w:tr>
      <w:tr w:rsidR="0085114A" w:rsidTr="0085114A">
        <w:tc>
          <w:tcPr>
            <w:tcW w:w="10686" w:type="dxa"/>
            <w:tcMar>
              <w:top w:w="0" w:type="dxa"/>
              <w:left w:w="108" w:type="dxa"/>
              <w:bottom w:w="0" w:type="dxa"/>
              <w:right w:w="108" w:type="dxa"/>
            </w:tcMar>
          </w:tcPr>
          <w:p w:rsidR="0085114A" w:rsidRPr="0085114A" w:rsidRDefault="0085114A" w:rsidP="0085114A">
            <w:pPr>
              <w:pStyle w:val="NormalWeb"/>
              <w:shd w:val="clear" w:color="auto" w:fill="FFFFFF"/>
              <w:spacing w:line="341" w:lineRule="atLeast"/>
              <w:jc w:val="center"/>
              <w:rPr>
                <w:rFonts w:ascii="Arial" w:hAnsi="Arial" w:cs="Arial"/>
                <w:b/>
                <w:bCs/>
              </w:rPr>
            </w:pPr>
            <w:proofErr w:type="gramStart"/>
            <w:r w:rsidRPr="0085114A">
              <w:rPr>
                <w:rFonts w:ascii="Arial" w:hAnsi="Arial" w:cs="Arial"/>
                <w:b/>
                <w:bCs/>
              </w:rPr>
              <w:t>Sesc</w:t>
            </w:r>
            <w:proofErr w:type="gramEnd"/>
            <w:r w:rsidRPr="0085114A">
              <w:rPr>
                <w:rFonts w:ascii="Arial" w:hAnsi="Arial" w:cs="Arial"/>
                <w:b/>
                <w:bCs/>
              </w:rPr>
              <w:t xml:space="preserve"> Glória apresenta “O Mundo Mágico de Escher”</w:t>
            </w:r>
            <w:r w:rsidR="00523CF3">
              <w:rPr>
                <w:rFonts w:ascii="Arial" w:hAnsi="Arial" w:cs="Arial"/>
                <w:b/>
                <w:bCs/>
              </w:rPr>
              <w:t>, a exposição mais visitada do mundo!</w:t>
            </w:r>
          </w:p>
          <w:p w:rsidR="0085114A" w:rsidRPr="0085114A" w:rsidRDefault="0085114A" w:rsidP="0085114A">
            <w:pPr>
              <w:pStyle w:val="NormalWeb"/>
              <w:shd w:val="clear" w:color="auto" w:fill="FFFFFF"/>
              <w:spacing w:line="341" w:lineRule="atLeast"/>
              <w:jc w:val="center"/>
              <w:rPr>
                <w:rFonts w:ascii="Arial" w:hAnsi="Arial" w:cs="Arial"/>
                <w:b/>
                <w:bCs/>
              </w:rPr>
            </w:pPr>
            <w:proofErr w:type="gramStart"/>
            <w:r w:rsidRPr="0085114A">
              <w:rPr>
                <w:rFonts w:ascii="Arial" w:hAnsi="Arial" w:cs="Arial"/>
                <w:b/>
                <w:bCs/>
              </w:rPr>
              <w:t>Sesc</w:t>
            </w:r>
            <w:proofErr w:type="gramEnd"/>
            <w:r w:rsidRPr="0085114A">
              <w:rPr>
                <w:rFonts w:ascii="Arial" w:hAnsi="Arial" w:cs="Arial"/>
                <w:b/>
                <w:bCs/>
              </w:rPr>
              <w:t xml:space="preserve"> Glória abre as portas em setembro com exposição do artista holandês </w:t>
            </w:r>
          </w:p>
          <w:p w:rsidR="0085114A" w:rsidRPr="0085114A" w:rsidRDefault="0085114A" w:rsidP="0085114A">
            <w:pPr>
              <w:pStyle w:val="NormalWeb"/>
              <w:shd w:val="clear" w:color="auto" w:fill="FFFFFF"/>
              <w:spacing w:line="341" w:lineRule="atLeast"/>
              <w:jc w:val="center"/>
              <w:rPr>
                <w:rFonts w:ascii="Arial" w:hAnsi="Arial" w:cs="Arial"/>
                <w:b/>
                <w:bCs/>
              </w:rPr>
            </w:pPr>
            <w:r w:rsidRPr="0085114A">
              <w:rPr>
                <w:rFonts w:ascii="Arial" w:hAnsi="Arial" w:cs="Arial"/>
                <w:b/>
                <w:bCs/>
              </w:rPr>
              <w:t xml:space="preserve">O Centro Cultura </w:t>
            </w:r>
            <w:proofErr w:type="gramStart"/>
            <w:r w:rsidRPr="0085114A">
              <w:rPr>
                <w:rFonts w:ascii="Arial" w:hAnsi="Arial" w:cs="Arial"/>
                <w:b/>
                <w:bCs/>
              </w:rPr>
              <w:t>Sesc</w:t>
            </w:r>
            <w:proofErr w:type="gramEnd"/>
            <w:r w:rsidRPr="0085114A">
              <w:rPr>
                <w:rFonts w:ascii="Arial" w:hAnsi="Arial" w:cs="Arial"/>
                <w:b/>
                <w:bCs/>
              </w:rPr>
              <w:t xml:space="preserve"> Glória, em Vitória, traz e</w:t>
            </w:r>
            <w:r w:rsidR="00523CF3">
              <w:rPr>
                <w:rFonts w:ascii="Arial" w:hAnsi="Arial" w:cs="Arial"/>
                <w:b/>
                <w:bCs/>
              </w:rPr>
              <w:t>m seu espaço cultural mais de 90</w:t>
            </w:r>
            <w:r w:rsidRPr="0085114A">
              <w:rPr>
                <w:rFonts w:ascii="Arial" w:hAnsi="Arial" w:cs="Arial"/>
                <w:b/>
                <w:bCs/>
              </w:rPr>
              <w:t xml:space="preserve"> obras do artista gráfico holandês Maurits Cornelis Escher. A exposição “O Mundo Mágico de Esche</w:t>
            </w:r>
            <w:r w:rsidR="00523CF3">
              <w:rPr>
                <w:rFonts w:ascii="Arial" w:hAnsi="Arial" w:cs="Arial"/>
                <w:b/>
                <w:bCs/>
              </w:rPr>
              <w:t>r” foi um sucesso absoluto de público em São Paulo, Rio de Janeiro, Brasília, Belo Horizonte e Curitiba e foi em 2011 a exposição mais visitada do mundo! A exposição traz xilogravuras e</w:t>
            </w:r>
            <w:r w:rsidRPr="0085114A">
              <w:rPr>
                <w:rFonts w:ascii="Arial" w:hAnsi="Arial" w:cs="Arial"/>
                <w:b/>
                <w:bCs/>
              </w:rPr>
              <w:t xml:space="preserve"> litografias, além de oferecer experiências que desvendam os efeitos óticos e de espelhamento que Escher usava em seus trabalhos. A mostra, que inicia em setembro e encerra em dezembro deste ano, faz parte da primeira etapa de inauguração do espaço.</w:t>
            </w:r>
          </w:p>
          <w:p w:rsidR="0085114A" w:rsidRPr="0085114A" w:rsidRDefault="00523CF3" w:rsidP="0085114A">
            <w:pPr>
              <w:pStyle w:val="NormalWeb"/>
              <w:shd w:val="clear" w:color="auto" w:fill="FFFFFF"/>
              <w:spacing w:line="341" w:lineRule="atLeast"/>
              <w:jc w:val="center"/>
              <w:rPr>
                <w:rFonts w:ascii="Arial" w:hAnsi="Arial" w:cs="Arial"/>
                <w:b/>
                <w:bCs/>
              </w:rPr>
            </w:pPr>
            <w:r>
              <w:rPr>
                <w:rFonts w:ascii="Arial" w:hAnsi="Arial" w:cs="Arial"/>
                <w:b/>
                <w:bCs/>
              </w:rPr>
              <w:t>Escher ficou conhecido</w:t>
            </w:r>
            <w:r w:rsidR="0085114A" w:rsidRPr="0085114A">
              <w:rPr>
                <w:rFonts w:ascii="Arial" w:hAnsi="Arial" w:cs="Arial"/>
                <w:b/>
                <w:bCs/>
              </w:rPr>
              <w:t xml:space="preserve"> no mundo todo pela notável qualidade técnica e estética em suas obras com representações distorcidas e paradoxais, construções impossíveis, explorações do infinito e metamorfoses – padrões geométricos entrecruzados que se transformam gradualmente pelas formas completamente diferentes, além da capacidade de criar imagens únicas com efeitos de ilusões de ótica. </w:t>
            </w:r>
          </w:p>
          <w:p w:rsidR="00523CF3" w:rsidRDefault="0085114A" w:rsidP="00523CF3">
            <w:pPr>
              <w:pStyle w:val="NormalWeb"/>
              <w:shd w:val="clear" w:color="auto" w:fill="FFFFFF"/>
              <w:spacing w:line="341" w:lineRule="atLeast"/>
              <w:jc w:val="center"/>
              <w:rPr>
                <w:rFonts w:ascii="Arial" w:hAnsi="Arial" w:cs="Arial"/>
                <w:b/>
                <w:bCs/>
              </w:rPr>
            </w:pPr>
            <w:r w:rsidRPr="0085114A">
              <w:rPr>
                <w:rFonts w:ascii="Arial" w:hAnsi="Arial" w:cs="Arial"/>
                <w:b/>
                <w:bCs/>
              </w:rPr>
              <w:t xml:space="preserve">As obras de Escher são referências artísticas para filmes como </w:t>
            </w:r>
            <w:r w:rsidRPr="00523CF3">
              <w:rPr>
                <w:rFonts w:ascii="Arial" w:hAnsi="Arial" w:cs="Arial"/>
                <w:b/>
                <w:bCs/>
                <w:i/>
              </w:rPr>
              <w:t>Donnie Darko</w:t>
            </w:r>
            <w:r w:rsidRPr="0085114A">
              <w:rPr>
                <w:rFonts w:ascii="Arial" w:hAnsi="Arial" w:cs="Arial"/>
                <w:b/>
                <w:bCs/>
              </w:rPr>
              <w:t xml:space="preserve"> e </w:t>
            </w:r>
            <w:r w:rsidRPr="00523CF3">
              <w:rPr>
                <w:rFonts w:ascii="Arial" w:hAnsi="Arial" w:cs="Arial"/>
                <w:b/>
                <w:bCs/>
                <w:i/>
              </w:rPr>
              <w:t>A Origem</w:t>
            </w:r>
            <w:r w:rsidRPr="0085114A">
              <w:rPr>
                <w:rFonts w:ascii="Arial" w:hAnsi="Arial" w:cs="Arial"/>
                <w:b/>
                <w:bCs/>
              </w:rPr>
              <w:t xml:space="preserve">, e bandas musicais, como </w:t>
            </w:r>
            <w:r w:rsidRPr="00523CF3">
              <w:rPr>
                <w:rFonts w:ascii="Arial" w:hAnsi="Arial" w:cs="Arial"/>
                <w:b/>
                <w:bCs/>
                <w:i/>
              </w:rPr>
              <w:t>Daft Punk</w:t>
            </w:r>
            <w:r w:rsidRPr="0085114A">
              <w:rPr>
                <w:rFonts w:ascii="Arial" w:hAnsi="Arial" w:cs="Arial"/>
                <w:b/>
                <w:bCs/>
              </w:rPr>
              <w:t xml:space="preserve"> e </w:t>
            </w:r>
            <w:r w:rsidRPr="00523CF3">
              <w:rPr>
                <w:rFonts w:ascii="Arial" w:hAnsi="Arial" w:cs="Arial"/>
                <w:b/>
                <w:bCs/>
                <w:i/>
              </w:rPr>
              <w:t>Incubus</w:t>
            </w:r>
            <w:r w:rsidRPr="0085114A">
              <w:rPr>
                <w:rFonts w:ascii="Arial" w:hAnsi="Arial" w:cs="Arial"/>
                <w:b/>
                <w:bCs/>
              </w:rPr>
              <w:t>. Episódios dos desenhos</w:t>
            </w:r>
            <w:r w:rsidR="00523CF3">
              <w:rPr>
                <w:rFonts w:ascii="Arial" w:hAnsi="Arial" w:cs="Arial"/>
                <w:b/>
                <w:bCs/>
              </w:rPr>
              <w:t xml:space="preserve"> animados</w:t>
            </w:r>
            <w:r w:rsidRPr="0085114A">
              <w:rPr>
                <w:rFonts w:ascii="Arial" w:hAnsi="Arial" w:cs="Arial"/>
                <w:b/>
                <w:bCs/>
              </w:rPr>
              <w:t xml:space="preserve"> </w:t>
            </w:r>
            <w:r w:rsidRPr="00523CF3">
              <w:rPr>
                <w:rFonts w:ascii="Arial" w:hAnsi="Arial" w:cs="Arial"/>
                <w:b/>
                <w:bCs/>
                <w:i/>
              </w:rPr>
              <w:t xml:space="preserve">Os </w:t>
            </w:r>
            <w:proofErr w:type="spellStart"/>
            <w:r w:rsidRPr="00523CF3">
              <w:rPr>
                <w:rFonts w:ascii="Arial" w:hAnsi="Arial" w:cs="Arial"/>
                <w:b/>
                <w:bCs/>
                <w:i/>
              </w:rPr>
              <w:t>Simpsons</w:t>
            </w:r>
            <w:proofErr w:type="spellEnd"/>
            <w:r w:rsidRPr="0085114A">
              <w:rPr>
                <w:rFonts w:ascii="Arial" w:hAnsi="Arial" w:cs="Arial"/>
                <w:b/>
                <w:bCs/>
              </w:rPr>
              <w:t xml:space="preserve">, </w:t>
            </w:r>
            <w:r w:rsidRPr="00523CF3">
              <w:rPr>
                <w:rFonts w:ascii="Arial" w:hAnsi="Arial" w:cs="Arial"/>
                <w:b/>
                <w:bCs/>
                <w:i/>
              </w:rPr>
              <w:t>Padrinhos Mágicos</w:t>
            </w:r>
            <w:r w:rsidRPr="0085114A">
              <w:rPr>
                <w:rFonts w:ascii="Arial" w:hAnsi="Arial" w:cs="Arial"/>
                <w:b/>
                <w:bCs/>
              </w:rPr>
              <w:t xml:space="preserve">, </w:t>
            </w:r>
            <w:r w:rsidRPr="00523CF3">
              <w:rPr>
                <w:rFonts w:ascii="Arial" w:hAnsi="Arial" w:cs="Arial"/>
                <w:b/>
                <w:bCs/>
                <w:i/>
              </w:rPr>
              <w:t>Family Guy</w:t>
            </w:r>
            <w:r w:rsidRPr="0085114A">
              <w:rPr>
                <w:rFonts w:ascii="Arial" w:hAnsi="Arial" w:cs="Arial"/>
                <w:b/>
                <w:bCs/>
              </w:rPr>
              <w:t xml:space="preserve"> </w:t>
            </w:r>
            <w:r w:rsidRPr="00523CF3">
              <w:rPr>
                <w:rFonts w:ascii="Arial" w:hAnsi="Arial" w:cs="Arial"/>
                <w:b/>
                <w:bCs/>
                <w:i/>
              </w:rPr>
              <w:t>e Futurama</w:t>
            </w:r>
            <w:r w:rsidRPr="0085114A">
              <w:rPr>
                <w:rFonts w:ascii="Arial" w:hAnsi="Arial" w:cs="Arial"/>
                <w:b/>
                <w:bCs/>
              </w:rPr>
              <w:t xml:space="preserve"> também recebem influência da maneira como Escher fazia arte. Para conhecer mais sobre o artista, acesse: </w:t>
            </w:r>
            <w:proofErr w:type="gramStart"/>
            <w:r w:rsidR="00523CF3" w:rsidRPr="00523CF3">
              <w:rPr>
                <w:rFonts w:ascii="Arial" w:hAnsi="Arial" w:cs="Arial"/>
                <w:b/>
                <w:bCs/>
              </w:rPr>
              <w:t>http://www.mcescher.com/</w:t>
            </w:r>
            <w:proofErr w:type="gramEnd"/>
          </w:p>
          <w:p w:rsidR="0085114A" w:rsidRPr="0085114A" w:rsidRDefault="0085114A" w:rsidP="0085114A">
            <w:pPr>
              <w:pStyle w:val="NormalWeb"/>
              <w:shd w:val="clear" w:color="auto" w:fill="FFFFFF"/>
              <w:spacing w:line="341" w:lineRule="atLeast"/>
              <w:jc w:val="center"/>
              <w:rPr>
                <w:rFonts w:ascii="Arial" w:hAnsi="Arial" w:cs="Arial"/>
                <w:b/>
                <w:bCs/>
              </w:rPr>
            </w:pPr>
            <w:r w:rsidRPr="0085114A">
              <w:rPr>
                <w:rFonts w:ascii="Arial" w:hAnsi="Arial" w:cs="Arial"/>
                <w:b/>
                <w:bCs/>
              </w:rPr>
              <w:t xml:space="preserve">Centro Cultural </w:t>
            </w:r>
            <w:proofErr w:type="gramStart"/>
            <w:r w:rsidRPr="0085114A">
              <w:rPr>
                <w:rFonts w:ascii="Arial" w:hAnsi="Arial" w:cs="Arial"/>
                <w:b/>
                <w:bCs/>
              </w:rPr>
              <w:t>Sesc</w:t>
            </w:r>
            <w:proofErr w:type="gramEnd"/>
            <w:r w:rsidRPr="0085114A">
              <w:rPr>
                <w:rFonts w:ascii="Arial" w:hAnsi="Arial" w:cs="Arial"/>
                <w:b/>
                <w:bCs/>
              </w:rPr>
              <w:t xml:space="preserve"> Glória: um novo espaço que vai promover cultura e entretenimento</w:t>
            </w:r>
          </w:p>
          <w:p w:rsidR="0085114A" w:rsidRPr="0085114A" w:rsidRDefault="0085114A" w:rsidP="0085114A">
            <w:pPr>
              <w:pStyle w:val="NormalWeb"/>
              <w:shd w:val="clear" w:color="auto" w:fill="FFFFFF"/>
              <w:spacing w:line="341" w:lineRule="atLeast"/>
              <w:jc w:val="center"/>
              <w:rPr>
                <w:rFonts w:ascii="Arial" w:hAnsi="Arial" w:cs="Arial"/>
                <w:b/>
                <w:bCs/>
              </w:rPr>
            </w:pPr>
            <w:r w:rsidRPr="0085114A">
              <w:rPr>
                <w:rFonts w:ascii="Arial" w:hAnsi="Arial" w:cs="Arial"/>
                <w:b/>
                <w:bCs/>
              </w:rPr>
              <w:t>O Sesc Glória é resultado da contribuição regular dos profissionais que atuam no comércio, a partir da coleta de impostos, que surge como contrapartida para o funcionário do setor. Como resposta, o espaço cultural busca ser o local que vai promover manifestações culturais e entretenimento para esta força de trabalho.</w:t>
            </w:r>
          </w:p>
          <w:p w:rsidR="0085114A" w:rsidRDefault="0085114A" w:rsidP="0085114A">
            <w:pPr>
              <w:pStyle w:val="NormalWeb"/>
              <w:shd w:val="clear" w:color="auto" w:fill="FFFFFF"/>
              <w:spacing w:line="341" w:lineRule="atLeast"/>
              <w:jc w:val="both"/>
              <w:rPr>
                <w:rFonts w:ascii="Arial" w:hAnsi="Arial" w:cs="Arial"/>
                <w:b/>
                <w:bCs/>
              </w:rPr>
            </w:pPr>
            <w:r w:rsidRPr="0085114A">
              <w:rPr>
                <w:rFonts w:ascii="Arial" w:hAnsi="Arial" w:cs="Arial"/>
                <w:b/>
                <w:bCs/>
              </w:rPr>
              <w:t>As atividades culturais serão distribuídas nos seis pavimentos do prédio, todos adaptados para pessoas com necessidades especiais, garantindo o direito de acesso à programação dos espaços. Serão dois teatros, sendo um multiconfiguracional, dois cinemas, uma biblioteca que contemplará mais de sete mil exemplares, laboratório multimídia, dois ateliês de artes visuais, quatro salas de aula, inclusive de dança, espaço expositivo, estúdio, audioteca, arena acusmática, sala com programação literária, banco de textos e um bistrô.</w:t>
            </w:r>
          </w:p>
          <w:p w:rsidR="009F0163" w:rsidRDefault="009F0163" w:rsidP="0085114A">
            <w:pPr>
              <w:pStyle w:val="NormalWeb"/>
              <w:shd w:val="clear" w:color="auto" w:fill="FFFFFF"/>
              <w:spacing w:line="341" w:lineRule="atLeast"/>
              <w:jc w:val="both"/>
              <w:rPr>
                <w:rFonts w:ascii="Arial" w:hAnsi="Arial" w:cs="Arial"/>
                <w:b/>
                <w:bCs/>
              </w:rPr>
            </w:pPr>
            <w:r>
              <w:rPr>
                <w:rFonts w:ascii="Arial" w:hAnsi="Arial" w:cs="Arial"/>
                <w:b/>
                <w:bCs/>
              </w:rPr>
              <w:lastRenderedPageBreak/>
              <w:t xml:space="preserve">O curador da exposição, Pieter </w:t>
            </w:r>
            <w:proofErr w:type="spellStart"/>
            <w:r>
              <w:rPr>
                <w:rFonts w:ascii="Arial" w:hAnsi="Arial" w:cs="Arial"/>
                <w:b/>
                <w:bCs/>
              </w:rPr>
              <w:t>Tjabbes</w:t>
            </w:r>
            <w:proofErr w:type="spellEnd"/>
            <w:r>
              <w:rPr>
                <w:rFonts w:ascii="Arial" w:hAnsi="Arial" w:cs="Arial"/>
                <w:b/>
                <w:bCs/>
              </w:rPr>
              <w:t xml:space="preserve">, já está em Vitória palestrando </w:t>
            </w:r>
            <w:proofErr w:type="gramStart"/>
            <w:r>
              <w:rPr>
                <w:rFonts w:ascii="Arial" w:hAnsi="Arial" w:cs="Arial"/>
                <w:b/>
                <w:bCs/>
              </w:rPr>
              <w:t>à</w:t>
            </w:r>
            <w:proofErr w:type="gramEnd"/>
            <w:r>
              <w:rPr>
                <w:rFonts w:ascii="Arial" w:hAnsi="Arial" w:cs="Arial"/>
                <w:b/>
                <w:bCs/>
              </w:rPr>
              <w:t xml:space="preserve"> 300 arte-educadores que levarão o conhecimento adquirido para as salas de aulas em todo o Estado.</w:t>
            </w:r>
          </w:p>
          <w:p w:rsidR="009F0163" w:rsidRPr="0085114A" w:rsidRDefault="009F0163" w:rsidP="0085114A">
            <w:pPr>
              <w:pStyle w:val="NormalWeb"/>
              <w:shd w:val="clear" w:color="auto" w:fill="FFFFFF"/>
              <w:spacing w:line="341" w:lineRule="atLeast"/>
              <w:jc w:val="both"/>
              <w:rPr>
                <w:rFonts w:ascii="Arial" w:hAnsi="Arial" w:cs="Arial"/>
              </w:rPr>
            </w:pPr>
            <w:r>
              <w:rPr>
                <w:rFonts w:ascii="Arial" w:hAnsi="Arial" w:cs="Arial"/>
                <w:b/>
                <w:bCs/>
              </w:rPr>
              <w:t xml:space="preserve">Além dele, José Carlos </w:t>
            </w:r>
            <w:proofErr w:type="spellStart"/>
            <w:r>
              <w:rPr>
                <w:rFonts w:ascii="Arial" w:hAnsi="Arial" w:cs="Arial"/>
                <w:b/>
                <w:bCs/>
              </w:rPr>
              <w:t>Cifuentes</w:t>
            </w:r>
            <w:proofErr w:type="spellEnd"/>
            <w:r>
              <w:rPr>
                <w:rFonts w:ascii="Arial" w:hAnsi="Arial" w:cs="Arial"/>
                <w:b/>
                <w:bCs/>
              </w:rPr>
              <w:t xml:space="preserve"> e Fernando Gómez Alvarez</w:t>
            </w:r>
            <w:r w:rsidR="0059381B">
              <w:rPr>
                <w:rFonts w:ascii="Arial" w:hAnsi="Arial" w:cs="Arial"/>
                <w:b/>
                <w:bCs/>
              </w:rPr>
              <w:t xml:space="preserve"> também participam na capacitação destes 300 professores que acontece em parceria com o MAES.</w:t>
            </w:r>
            <w:bookmarkStart w:id="0" w:name="_GoBack"/>
            <w:bookmarkEnd w:id="0"/>
          </w:p>
          <w:p w:rsidR="0085114A" w:rsidRDefault="0085114A">
            <w:pPr>
              <w:pStyle w:val="NormalWeb"/>
              <w:shd w:val="clear" w:color="auto" w:fill="FFFFFF"/>
              <w:spacing w:line="341" w:lineRule="atLeast"/>
              <w:jc w:val="both"/>
            </w:pPr>
          </w:p>
        </w:tc>
      </w:tr>
      <w:tr w:rsidR="0085114A" w:rsidTr="0085114A">
        <w:tc>
          <w:tcPr>
            <w:tcW w:w="10686" w:type="dxa"/>
            <w:tcMar>
              <w:top w:w="0" w:type="dxa"/>
              <w:left w:w="108" w:type="dxa"/>
              <w:bottom w:w="0" w:type="dxa"/>
              <w:right w:w="108" w:type="dxa"/>
            </w:tcMar>
            <w:hideMark/>
          </w:tcPr>
          <w:p w:rsidR="0085114A" w:rsidRDefault="0085114A">
            <w:pPr>
              <w:rPr>
                <w:rFonts w:ascii="Calibri" w:hAnsi="Calibri"/>
              </w:rPr>
            </w:pPr>
            <w:r>
              <w:rPr>
                <w:noProof/>
                <w:lang w:eastAsia="pt-BR"/>
              </w:rPr>
              <w:lastRenderedPageBreak/>
              <w:drawing>
                <wp:inline distT="0" distB="0" distL="0" distR="0">
                  <wp:extent cx="5400675" cy="1200150"/>
                  <wp:effectExtent l="0" t="0" r="9525" b="0"/>
                  <wp:docPr id="1" name="Imagem 1" descr="cid:image002.jpg@01CFCE73.8B5C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id:image002.jpg@01CFCE73.8B5CCF3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00675" cy="1200150"/>
                          </a:xfrm>
                          <a:prstGeom prst="rect">
                            <a:avLst/>
                          </a:prstGeom>
                          <a:noFill/>
                          <a:ln>
                            <a:noFill/>
                          </a:ln>
                        </pic:spPr>
                      </pic:pic>
                    </a:graphicData>
                  </a:graphic>
                </wp:inline>
              </w:drawing>
            </w:r>
          </w:p>
        </w:tc>
      </w:tr>
    </w:tbl>
    <w:p w:rsidR="0085114A" w:rsidRDefault="0085114A" w:rsidP="00685E2D"/>
    <w:sectPr w:rsidR="0085114A" w:rsidSect="0085114A">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2D"/>
    <w:rsid w:val="00080550"/>
    <w:rsid w:val="003A4D08"/>
    <w:rsid w:val="003E7C74"/>
    <w:rsid w:val="0049524B"/>
    <w:rsid w:val="00523CF3"/>
    <w:rsid w:val="0059381B"/>
    <w:rsid w:val="005B181B"/>
    <w:rsid w:val="00685E2D"/>
    <w:rsid w:val="0085114A"/>
    <w:rsid w:val="009F0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114A"/>
    <w:rPr>
      <w:color w:val="0000FF"/>
      <w:u w:val="single"/>
    </w:rPr>
  </w:style>
  <w:style w:type="paragraph" w:styleId="NormalWeb">
    <w:name w:val="Normal (Web)"/>
    <w:basedOn w:val="Normal"/>
    <w:uiPriority w:val="99"/>
    <w:unhideWhenUsed/>
    <w:rsid w:val="0085114A"/>
    <w:pPr>
      <w:spacing w:before="100" w:beforeAutospacing="1" w:after="100" w:afterAutospacing="1" w:line="240" w:lineRule="auto"/>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11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1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114A"/>
    <w:rPr>
      <w:color w:val="0000FF"/>
      <w:u w:val="single"/>
    </w:rPr>
  </w:style>
  <w:style w:type="paragraph" w:styleId="NormalWeb">
    <w:name w:val="Normal (Web)"/>
    <w:basedOn w:val="Normal"/>
    <w:uiPriority w:val="99"/>
    <w:unhideWhenUsed/>
    <w:rsid w:val="0085114A"/>
    <w:pPr>
      <w:spacing w:before="100" w:beforeAutospacing="1" w:after="100" w:afterAutospacing="1" w:line="240" w:lineRule="auto"/>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11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1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CE73.8B5CCF3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CE73.8B5CCF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Pages>
  <Words>432</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SESC - SERVIÇO SOCIAL DO COMÉRCIO</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Pinto Moreira Poltronieri</dc:creator>
  <cp:lastModifiedBy>Daniele Pinto Moreira Poltronieri</cp:lastModifiedBy>
  <cp:revision>3</cp:revision>
  <dcterms:created xsi:type="dcterms:W3CDTF">2014-09-17T13:17:00Z</dcterms:created>
  <dcterms:modified xsi:type="dcterms:W3CDTF">2014-09-17T15:29:00Z</dcterms:modified>
</cp:coreProperties>
</file>